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14" w:rsidRDefault="00F1782B" w:rsidP="00972914">
      <w:pPr>
        <w:spacing w:after="0"/>
        <w:jc w:val="center"/>
      </w:pPr>
      <w:r w:rsidRPr="00F1782B">
        <w:rPr>
          <w:rFonts w:ascii="Times New Roman" w:eastAsia="Times New Roman" w:hAnsi="Times New Roman" w:cs="Times New Roman"/>
          <w:sz w:val="24"/>
          <w:szCs w:val="24"/>
        </w:rPr>
        <w:br/>
      </w:r>
      <w:r w:rsidRPr="00F1782B">
        <w:rPr>
          <w:rFonts w:ascii="Times New Roman" w:eastAsia="Times New Roman" w:hAnsi="Times New Roman" w:cs="Times New Roman"/>
          <w:sz w:val="24"/>
          <w:szCs w:val="24"/>
        </w:rPr>
        <w:br/>
      </w:r>
      <w:r w:rsidRPr="00F1782B">
        <w:rPr>
          <w:rFonts w:ascii="Times New Roman" w:eastAsia="Times New Roman" w:hAnsi="Times New Roman" w:cs="Times New Roman"/>
          <w:sz w:val="24"/>
          <w:szCs w:val="24"/>
        </w:rPr>
        <w:br/>
      </w:r>
      <w:r w:rsidR="00972914">
        <w:rPr>
          <w:noProof/>
        </w:rPr>
        <w:drawing>
          <wp:inline distT="0" distB="0" distL="0" distR="0">
            <wp:extent cx="647700" cy="742950"/>
            <wp:effectExtent l="19050" t="0" r="0" b="0"/>
            <wp:docPr id="1" name="Рисунок 1" descr="\\Admserver\бояринцева\ger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Admserver\бояринцева\gerb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914" w:rsidRDefault="00972914" w:rsidP="009729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Борисовского района </w:t>
      </w:r>
    </w:p>
    <w:p w:rsidR="00972914" w:rsidRDefault="00972914" w:rsidP="0097291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</w:t>
      </w:r>
      <w:r w:rsidR="00802856">
        <w:rPr>
          <w:rFonts w:ascii="Times New Roman" w:hAnsi="Times New Roman"/>
          <w:sz w:val="28"/>
          <w:szCs w:val="28"/>
        </w:rPr>
        <w:t>министрации Борисовского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914" w:rsidRDefault="00972914" w:rsidP="009729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72914" w:rsidRDefault="00972914" w:rsidP="009729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72914" w:rsidRDefault="00972914" w:rsidP="0097291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6E76">
        <w:rPr>
          <w:rFonts w:ascii="Times New Roman" w:hAnsi="Times New Roman"/>
          <w:sz w:val="24"/>
          <w:szCs w:val="24"/>
        </w:rPr>
        <w:t>п. Борисовка</w:t>
      </w:r>
    </w:p>
    <w:p w:rsidR="00077422" w:rsidRPr="000D6E76" w:rsidRDefault="00077422" w:rsidP="0097291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2914" w:rsidRPr="00077422" w:rsidRDefault="00972914" w:rsidP="00972914">
      <w:pPr>
        <w:spacing w:after="0"/>
        <w:rPr>
          <w:rFonts w:ascii="Times New Roman" w:hAnsi="Times New Roman"/>
          <w:b/>
          <w:sz w:val="28"/>
          <w:szCs w:val="28"/>
        </w:rPr>
      </w:pPr>
      <w:r w:rsidRPr="00077422">
        <w:rPr>
          <w:rFonts w:ascii="Times New Roman" w:hAnsi="Times New Roman"/>
          <w:b/>
          <w:sz w:val="28"/>
          <w:szCs w:val="28"/>
        </w:rPr>
        <w:t xml:space="preserve">« </w:t>
      </w:r>
      <w:r w:rsidR="00497E52" w:rsidRPr="00077422">
        <w:rPr>
          <w:rFonts w:ascii="Times New Roman" w:hAnsi="Times New Roman"/>
          <w:b/>
          <w:sz w:val="28"/>
          <w:szCs w:val="28"/>
        </w:rPr>
        <w:t>04</w:t>
      </w:r>
      <w:r w:rsidRPr="00077422">
        <w:rPr>
          <w:rFonts w:ascii="Times New Roman" w:hAnsi="Times New Roman"/>
          <w:b/>
          <w:sz w:val="28"/>
          <w:szCs w:val="28"/>
        </w:rPr>
        <w:t xml:space="preserve">  »</w:t>
      </w:r>
      <w:r w:rsidR="00497E52" w:rsidRPr="00077422">
        <w:rPr>
          <w:rFonts w:ascii="Times New Roman" w:hAnsi="Times New Roman"/>
          <w:b/>
          <w:sz w:val="28"/>
          <w:szCs w:val="28"/>
        </w:rPr>
        <w:t xml:space="preserve"> августа  2016 </w:t>
      </w:r>
      <w:r w:rsidRPr="00077422">
        <w:rPr>
          <w:rFonts w:ascii="Times New Roman" w:hAnsi="Times New Roman"/>
          <w:b/>
          <w:sz w:val="28"/>
          <w:szCs w:val="28"/>
        </w:rPr>
        <w:t xml:space="preserve">г.                                  </w:t>
      </w:r>
      <w:r w:rsidR="00497E52" w:rsidRPr="00077422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077422">
        <w:rPr>
          <w:rFonts w:ascii="Times New Roman" w:hAnsi="Times New Roman"/>
          <w:b/>
          <w:sz w:val="28"/>
          <w:szCs w:val="28"/>
        </w:rPr>
        <w:t xml:space="preserve">        </w:t>
      </w:r>
      <w:r w:rsidR="00497E52" w:rsidRPr="00077422">
        <w:rPr>
          <w:rFonts w:ascii="Times New Roman" w:hAnsi="Times New Roman"/>
          <w:b/>
          <w:sz w:val="28"/>
          <w:szCs w:val="28"/>
        </w:rPr>
        <w:t xml:space="preserve">  № 506</w:t>
      </w:r>
    </w:p>
    <w:p w:rsidR="00972914" w:rsidRDefault="00972914" w:rsidP="0097291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02856" w:rsidRDefault="00F1782B" w:rsidP="008028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подвоза учащихся</w:t>
      </w:r>
    </w:p>
    <w:p w:rsidR="00831FC0" w:rsidRDefault="00F1782B" w:rsidP="0007742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782B">
        <w:rPr>
          <w:rFonts w:ascii="Times New Roman" w:eastAsia="Times New Roman" w:hAnsi="Times New Roman" w:cs="Times New Roman"/>
          <w:sz w:val="28"/>
          <w:szCs w:val="28"/>
        </w:rPr>
        <w:br/>
      </w:r>
      <w:r w:rsidRPr="00F1782B">
        <w:rPr>
          <w:rFonts w:ascii="Times New Roman" w:eastAsia="Times New Roman" w:hAnsi="Times New Roman" w:cs="Times New Roman"/>
          <w:sz w:val="28"/>
          <w:szCs w:val="28"/>
        </w:rPr>
        <w:br/>
      </w:r>
      <w:r w:rsidR="008028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728D2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7C0404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«Об образовании в Российской Федерации», с</w:t>
      </w:r>
      <w:r w:rsidRPr="00F1782B">
        <w:rPr>
          <w:rFonts w:ascii="Times New Roman" w:eastAsia="Times New Roman" w:hAnsi="Times New Roman" w:cs="Times New Roman"/>
          <w:sz w:val="28"/>
          <w:szCs w:val="28"/>
        </w:rPr>
        <w:t xml:space="preserve">огласно санитарно-эпидемиологическим правилам и нормативам </w:t>
      </w:r>
      <w:proofErr w:type="spellStart"/>
      <w:r w:rsidRPr="00F1782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F1782B">
        <w:rPr>
          <w:rFonts w:ascii="Times New Roman" w:eastAsia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r w:rsidR="003728D2">
        <w:rPr>
          <w:rFonts w:ascii="Times New Roman" w:eastAsia="Times New Roman" w:hAnsi="Times New Roman" w:cs="Times New Roman"/>
          <w:sz w:val="28"/>
          <w:szCs w:val="28"/>
        </w:rPr>
        <w:t xml:space="preserve">раздел 2 Требования к размещению общеобразовательных учреждений п.2.4,п.2,5  </w:t>
      </w:r>
      <w:proofErr w:type="spellStart"/>
      <w:proofErr w:type="gramStart"/>
      <w:r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к а </w:t>
      </w:r>
      <w:proofErr w:type="spellStart"/>
      <w:r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spellEnd"/>
      <w:r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spellEnd"/>
      <w:r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а </w:t>
      </w:r>
      <w:proofErr w:type="spellStart"/>
      <w:r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F178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</w:p>
    <w:p w:rsidR="00831FC0" w:rsidRDefault="00831FC0" w:rsidP="0007742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Cs w:val="28"/>
        </w:rPr>
      </w:pPr>
      <w:r w:rsidRPr="002C0AFF">
        <w:rPr>
          <w:szCs w:val="28"/>
        </w:rPr>
        <w:t xml:space="preserve">Организовать подвоз </w:t>
      </w:r>
      <w:proofErr w:type="gramStart"/>
      <w:r w:rsidRPr="002C0AFF">
        <w:rPr>
          <w:szCs w:val="28"/>
        </w:rPr>
        <w:t>обучающихся</w:t>
      </w:r>
      <w:proofErr w:type="gramEnd"/>
      <w:r w:rsidRPr="002C0AFF">
        <w:rPr>
          <w:szCs w:val="28"/>
        </w:rPr>
        <w:t xml:space="preserve"> на занятия с 1 сентября  201</w:t>
      </w:r>
      <w:r>
        <w:rPr>
          <w:szCs w:val="28"/>
        </w:rPr>
        <w:t>6</w:t>
      </w:r>
      <w:r w:rsidRPr="002C0AFF">
        <w:rPr>
          <w:szCs w:val="28"/>
        </w:rPr>
        <w:t xml:space="preserve"> года по 31 мая 201</w:t>
      </w:r>
      <w:r>
        <w:rPr>
          <w:szCs w:val="28"/>
        </w:rPr>
        <w:t>7</w:t>
      </w:r>
      <w:r w:rsidRPr="002C0AFF">
        <w:rPr>
          <w:szCs w:val="28"/>
        </w:rPr>
        <w:t xml:space="preserve"> года в </w:t>
      </w:r>
      <w:r>
        <w:rPr>
          <w:szCs w:val="28"/>
        </w:rPr>
        <w:t>общеобразовательных учреждениях:</w:t>
      </w:r>
      <w:r w:rsidRPr="002C0AFF">
        <w:rPr>
          <w:szCs w:val="28"/>
        </w:rPr>
        <w:t xml:space="preserve"> </w:t>
      </w:r>
      <w:proofErr w:type="gramStart"/>
      <w:r w:rsidRPr="002C0AFF">
        <w:rPr>
          <w:szCs w:val="28"/>
        </w:rPr>
        <w:t>МБОУ «Борисовская СОШ №1 им. А.М. Рудого» (Харитченко Л.А.),</w:t>
      </w:r>
      <w:r>
        <w:rPr>
          <w:szCs w:val="28"/>
        </w:rPr>
        <w:t xml:space="preserve"> </w:t>
      </w:r>
      <w:r w:rsidRPr="002C0AFF">
        <w:rPr>
          <w:szCs w:val="28"/>
        </w:rPr>
        <w:t xml:space="preserve">МБОУ «Борисовская СОШ №2» (Иванчук Е.В.), МБОУ «Борисовская ООШ №4» </w:t>
      </w:r>
      <w:r>
        <w:rPr>
          <w:szCs w:val="28"/>
        </w:rPr>
        <w:t>(</w:t>
      </w:r>
      <w:proofErr w:type="spellStart"/>
      <w:r w:rsidRPr="002C0AFF">
        <w:rPr>
          <w:szCs w:val="28"/>
        </w:rPr>
        <w:t>Скрынник</w:t>
      </w:r>
      <w:proofErr w:type="spellEnd"/>
      <w:r w:rsidRPr="002C0AFF">
        <w:rPr>
          <w:szCs w:val="28"/>
        </w:rPr>
        <w:t xml:space="preserve"> М.Н.), МБОУ «Березовская средняя обще</w:t>
      </w:r>
      <w:r>
        <w:rPr>
          <w:szCs w:val="28"/>
        </w:rPr>
        <w:t xml:space="preserve">образовательная школа им. С.Н. </w:t>
      </w:r>
      <w:r w:rsidRPr="002C0AFF">
        <w:rPr>
          <w:szCs w:val="28"/>
        </w:rPr>
        <w:t xml:space="preserve">Климова» (Шульгина В.В.), </w:t>
      </w:r>
      <w:r>
        <w:rPr>
          <w:szCs w:val="28"/>
        </w:rPr>
        <w:t>МБОУ «Грузсчанская СОШ</w:t>
      </w:r>
      <w:r w:rsidRPr="002C0AFF">
        <w:rPr>
          <w:szCs w:val="28"/>
        </w:rPr>
        <w:t>» (</w:t>
      </w:r>
      <w:proofErr w:type="spellStart"/>
      <w:r w:rsidRPr="002C0AFF">
        <w:rPr>
          <w:szCs w:val="28"/>
        </w:rPr>
        <w:t>Помогаева</w:t>
      </w:r>
      <w:proofErr w:type="spellEnd"/>
      <w:r w:rsidRPr="002C0AFF">
        <w:rPr>
          <w:szCs w:val="28"/>
        </w:rPr>
        <w:t xml:space="preserve"> С.Н.),</w:t>
      </w:r>
      <w:r>
        <w:rPr>
          <w:szCs w:val="28"/>
        </w:rPr>
        <w:t xml:space="preserve"> </w:t>
      </w:r>
      <w:r w:rsidRPr="002C0AFF">
        <w:rPr>
          <w:szCs w:val="28"/>
        </w:rPr>
        <w:t>МБОУ «Крюковская СОШ» (Колесник А.Т.), МБОУ «Октябрьскоготнянская СОШ» (Мирошниченко Т.П.), МБОУ «Хотмыжская СОШ» (Гридунова О.</w:t>
      </w:r>
      <w:proofErr w:type="gramEnd"/>
      <w:r w:rsidRPr="002C0AFF">
        <w:rPr>
          <w:szCs w:val="28"/>
        </w:rPr>
        <w:t>А.), МБОУ «Стригуновская СОШ» (</w:t>
      </w:r>
      <w:proofErr w:type="spellStart"/>
      <w:r w:rsidRPr="002C0AFF">
        <w:rPr>
          <w:szCs w:val="28"/>
        </w:rPr>
        <w:t>Твердохлеб</w:t>
      </w:r>
      <w:proofErr w:type="spellEnd"/>
      <w:r w:rsidRPr="002C0AFF">
        <w:rPr>
          <w:szCs w:val="28"/>
        </w:rPr>
        <w:t xml:space="preserve"> О.В.), МБОУ «Байцуровская ООШ» (</w:t>
      </w:r>
      <w:r>
        <w:rPr>
          <w:szCs w:val="28"/>
        </w:rPr>
        <w:t>Кривошей Т.В.</w:t>
      </w:r>
      <w:r w:rsidRPr="002C0AFF">
        <w:rPr>
          <w:szCs w:val="28"/>
        </w:rPr>
        <w:t>), МБОУ «Краснокутская ООШ» (Смоленко И.Н.), МБОУ «Борисовская СОШ им. Кирова»</w:t>
      </w:r>
      <w:r>
        <w:rPr>
          <w:szCs w:val="28"/>
        </w:rPr>
        <w:t xml:space="preserve"> (Амелькина Е.В.)</w:t>
      </w:r>
      <w:r w:rsidRPr="002C0AFF">
        <w:rPr>
          <w:szCs w:val="28"/>
        </w:rPr>
        <w:t>, МБОУ «Новобо</w:t>
      </w:r>
      <w:r>
        <w:rPr>
          <w:szCs w:val="28"/>
        </w:rPr>
        <w:t>рисовская СОШ им. Сырового А.В.» (Черненко Л.И.).</w:t>
      </w:r>
    </w:p>
    <w:p w:rsidR="00831FC0" w:rsidRPr="00D74733" w:rsidRDefault="00831FC0" w:rsidP="00077422">
      <w:pPr>
        <w:pStyle w:val="a5"/>
        <w:numPr>
          <w:ilvl w:val="0"/>
          <w:numId w:val="2"/>
        </w:numPr>
        <w:tabs>
          <w:tab w:val="clear" w:pos="720"/>
          <w:tab w:val="num" w:pos="0"/>
          <w:tab w:val="left" w:pos="284"/>
          <w:tab w:val="left" w:pos="1134"/>
        </w:tabs>
        <w:ind w:left="0" w:firstLine="567"/>
        <w:jc w:val="both"/>
        <w:rPr>
          <w:szCs w:val="28"/>
        </w:rPr>
      </w:pPr>
      <w:r w:rsidRPr="00D74733">
        <w:rPr>
          <w:szCs w:val="28"/>
        </w:rPr>
        <w:t xml:space="preserve"> Утвердить количественный состав  обучающихся, подлежащих подвозу,  в разрезе общеобразовательных  учреждений. (Приложение 1).</w:t>
      </w:r>
    </w:p>
    <w:p w:rsidR="00077422" w:rsidRDefault="00831FC0" w:rsidP="0007742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0285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6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85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учреждений: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.1.Осуществлять подвоз детей на занятия в</w:t>
      </w:r>
      <w:r w:rsidR="00802856">
        <w:rPr>
          <w:rFonts w:ascii="Times New Roman" w:eastAsia="Times New Roman" w:hAnsi="Times New Roman" w:cs="Times New Roman"/>
          <w:sz w:val="28"/>
          <w:szCs w:val="28"/>
        </w:rPr>
        <w:t xml:space="preserve"> течение 2016-2017 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учебного года из населенных пунктов в образовательные учреждения по маршрутам</w:t>
      </w:r>
      <w:r w:rsidR="00497E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 с ОГИБДД  ОМВД России по Борисовскому району.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.2. Строго руководствоваться методическими рекомендациями по обеспечению безопасности при перевозке детей автомобильным транспортом.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.3. Назначить ответственного за организацию подвоза учащихся, сопровождение и за организацию работы по обеспечению безопасности дорожного движения.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.4. Подвоз учащихся осуществлять строго по посадочным местам в транспортном средстве.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.5.Подвоз учащихся производить на технически исправном, в надлежащем санитарном состоянии транспортном средстве.</w:t>
      </w:r>
    </w:p>
    <w:p w:rsidR="00F1782B" w:rsidRPr="00F1782B" w:rsidRDefault="00831FC0" w:rsidP="00077422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F1782B" w:rsidRPr="00F1782B">
        <w:rPr>
          <w:rFonts w:ascii="Times New Roman" w:eastAsia="Times New Roman" w:hAnsi="Times New Roman" w:cs="Times New Roman"/>
          <w:sz w:val="28"/>
          <w:szCs w:val="28"/>
        </w:rPr>
        <w:t>Водителям автобусов, кроме необходимых документов, в пути иметь схемы опасных участков на соответствующем маршруте (постоянно).</w:t>
      </w:r>
    </w:p>
    <w:p w:rsidR="00077422" w:rsidRDefault="00831FC0" w:rsidP="00077422">
      <w:pPr>
        <w:spacing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.7.Соблюдать режим дня и отдыха водителя.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.8. Организовать ежемесячную сверку дорожно-транспортных происшествий (ДТП) с органами ГИБДД с занесением записи в журнал учета дорожно-транспортных происшествий (ДТП) и нару</w:t>
      </w:r>
      <w:r w:rsidR="000B1ADD">
        <w:rPr>
          <w:rFonts w:ascii="Times New Roman" w:eastAsia="Times New Roman" w:hAnsi="Times New Roman" w:cs="Times New Roman"/>
          <w:sz w:val="28"/>
          <w:szCs w:val="28"/>
        </w:rPr>
        <w:t>шения правил дорожного движени</w:t>
      </w:r>
      <w:proofErr w:type="gramStart"/>
      <w:r w:rsidR="000B1AD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ПДД).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.9.Организовать контроль за наличием у водителя при выезде на линию соответствующих документов (оформление путевой документации).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.10. Заключить договор с медицинским учреждением на организацию медицинского контроля водителя (</w:t>
      </w:r>
      <w:proofErr w:type="spellStart"/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предрейсовый</w:t>
      </w:r>
      <w:proofErr w:type="spellEnd"/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послерейсовый</w:t>
      </w:r>
      <w:proofErr w:type="spellEnd"/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.11.Назначить ответственного за техническое состояние транспортного средства, за выпуск на линию или заключить договор с хозяйствующими субъектами.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.12. Вовремя проводить техническое обслуживание</w:t>
      </w:r>
      <w:r w:rsidR="000B1ADD">
        <w:rPr>
          <w:rFonts w:ascii="Times New Roman" w:eastAsia="Times New Roman" w:hAnsi="Times New Roman" w:cs="Times New Roman"/>
          <w:sz w:val="28"/>
          <w:szCs w:val="28"/>
        </w:rPr>
        <w:t xml:space="preserve"> (ТО-1, ТО-2) автотранспортного 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средства.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.13. Запретить на школьном автобусе подвоз посторонних лиц во время перевозки детей</w:t>
      </w:r>
    </w:p>
    <w:p w:rsidR="00077422" w:rsidRDefault="00831FC0" w:rsidP="00077422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.Главному бухгалтеру управления образования администрации района (</w:t>
      </w:r>
      <w:proofErr w:type="spellStart"/>
      <w:r w:rsidR="00802856">
        <w:rPr>
          <w:rFonts w:ascii="Times New Roman" w:eastAsia="Times New Roman" w:hAnsi="Times New Roman" w:cs="Times New Roman"/>
          <w:sz w:val="28"/>
          <w:szCs w:val="28"/>
        </w:rPr>
        <w:t>Бар</w:t>
      </w:r>
      <w:r w:rsidR="001702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02856">
        <w:rPr>
          <w:rFonts w:ascii="Times New Roman" w:eastAsia="Times New Roman" w:hAnsi="Times New Roman" w:cs="Times New Roman"/>
          <w:sz w:val="28"/>
          <w:szCs w:val="28"/>
        </w:rPr>
        <w:t>ло</w:t>
      </w:r>
      <w:proofErr w:type="spellEnd"/>
      <w:r w:rsidR="00802856">
        <w:rPr>
          <w:rFonts w:ascii="Times New Roman" w:eastAsia="Times New Roman" w:hAnsi="Times New Roman" w:cs="Times New Roman"/>
          <w:sz w:val="28"/>
          <w:szCs w:val="28"/>
        </w:rPr>
        <w:t xml:space="preserve"> Я.В.)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 xml:space="preserve"> ежемесячно в полном объеме пр</w:t>
      </w:r>
      <w:r w:rsidR="0021673F">
        <w:rPr>
          <w:rFonts w:ascii="Times New Roman" w:eastAsia="Times New Roman" w:hAnsi="Times New Roman" w:cs="Times New Roman"/>
          <w:sz w:val="28"/>
          <w:szCs w:val="28"/>
        </w:rPr>
        <w:t xml:space="preserve">офинансировать приобретение ГСМ 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и запасных частей.</w:t>
      </w:r>
    </w:p>
    <w:p w:rsidR="00C2248B" w:rsidRDefault="00831FC0" w:rsidP="00077422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 xml:space="preserve">.Ответственность за выполнение настоящего приказа возложить на главного специалиста  управления образования </w:t>
      </w:r>
      <w:proofErr w:type="spellStart"/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>Шалкину</w:t>
      </w:r>
      <w:proofErr w:type="spellEnd"/>
      <w:r w:rsidR="00F1782B" w:rsidRPr="00802856">
        <w:rPr>
          <w:rFonts w:ascii="Times New Roman" w:eastAsia="Times New Roman" w:hAnsi="Times New Roman" w:cs="Times New Roman"/>
          <w:sz w:val="28"/>
          <w:szCs w:val="28"/>
        </w:rPr>
        <w:t xml:space="preserve"> З.К.</w:t>
      </w:r>
    </w:p>
    <w:p w:rsidR="00F863A2" w:rsidRDefault="00F863A2" w:rsidP="002167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3A2" w:rsidRDefault="00F863A2" w:rsidP="0021673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2856" w:rsidRDefault="00265836" w:rsidP="00F1782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207645</wp:posOffset>
            </wp:positionV>
            <wp:extent cx="1266825" cy="771525"/>
            <wp:effectExtent l="19050" t="0" r="9525" b="0"/>
            <wp:wrapNone/>
            <wp:docPr id="2" name="Рисунок 4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2016-04-04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28" t="4627" r="73558" b="77524"/>
                    <a:stretch/>
                  </pic:blipFill>
                  <pic:spPr bwMode="auto">
                    <a:xfrm>
                      <a:off x="0" y="0"/>
                      <a:ext cx="1266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2856" w:rsidRPr="00802856" w:rsidRDefault="00265836" w:rsidP="00802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4684395</wp:posOffset>
            </wp:positionV>
            <wp:extent cx="1232535" cy="1190625"/>
            <wp:effectExtent l="19050" t="0" r="5715" b="0"/>
            <wp:wrapNone/>
            <wp:docPr id="5" name="Рисунок 2" descr="Описание: 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5426710</wp:posOffset>
            </wp:positionV>
            <wp:extent cx="1232535" cy="1191895"/>
            <wp:effectExtent l="19050" t="0" r="5715" b="0"/>
            <wp:wrapNone/>
            <wp:docPr id="3" name="Рисунок 2" descr="Описание: 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856" w:rsidRPr="00802856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02856" w:rsidRPr="00802856">
        <w:rPr>
          <w:rFonts w:ascii="Times New Roman" w:eastAsia="Times New Roman" w:hAnsi="Times New Roman" w:cs="Times New Roman"/>
          <w:b/>
          <w:sz w:val="28"/>
          <w:szCs w:val="28"/>
        </w:rPr>
        <w:t>уп</w:t>
      </w:r>
      <w:r w:rsidRPr="00265836">
        <w:rPr>
          <w:rFonts w:ascii="Times New Roman" w:eastAsia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4836795</wp:posOffset>
            </wp:positionV>
            <wp:extent cx="1232535" cy="1190625"/>
            <wp:effectExtent l="19050" t="0" r="5715" b="0"/>
            <wp:wrapNone/>
            <wp:docPr id="6" name="Рисунок 2" descr="Описание: 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856" w:rsidRPr="00802856">
        <w:rPr>
          <w:rFonts w:ascii="Times New Roman" w:eastAsia="Times New Roman" w:hAnsi="Times New Roman" w:cs="Times New Roman"/>
          <w:b/>
          <w:sz w:val="28"/>
          <w:szCs w:val="28"/>
        </w:rPr>
        <w:t>равления</w:t>
      </w:r>
      <w:proofErr w:type="gramEnd"/>
      <w:r w:rsidR="00802856" w:rsidRPr="0080285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</w:p>
    <w:p w:rsidR="00802856" w:rsidRDefault="00802856" w:rsidP="00802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2856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Борисовского района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285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Е.И. Чухлебова</w:t>
      </w:r>
    </w:p>
    <w:p w:rsidR="00831FC0" w:rsidRDefault="00831FC0" w:rsidP="00802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FC0" w:rsidRDefault="00831FC0" w:rsidP="00802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1FC0" w:rsidRPr="00233BF3" w:rsidRDefault="00831FC0" w:rsidP="00831FC0">
      <w:pPr>
        <w:pStyle w:val="a5"/>
        <w:ind w:left="5103"/>
        <w:jc w:val="right"/>
        <w:rPr>
          <w:b/>
          <w:sz w:val="18"/>
          <w:szCs w:val="18"/>
        </w:rPr>
      </w:pPr>
      <w:r w:rsidRPr="00233BF3">
        <w:rPr>
          <w:b/>
          <w:sz w:val="18"/>
          <w:szCs w:val="18"/>
        </w:rPr>
        <w:lastRenderedPageBreak/>
        <w:t>Приложение 1</w:t>
      </w:r>
    </w:p>
    <w:p w:rsidR="00831FC0" w:rsidRPr="00233BF3" w:rsidRDefault="00831FC0" w:rsidP="00831FC0">
      <w:pPr>
        <w:pStyle w:val="a5"/>
        <w:ind w:left="5103"/>
        <w:jc w:val="right"/>
        <w:rPr>
          <w:b/>
          <w:sz w:val="18"/>
          <w:szCs w:val="18"/>
        </w:rPr>
      </w:pPr>
      <w:r w:rsidRPr="00233BF3">
        <w:rPr>
          <w:b/>
          <w:sz w:val="18"/>
          <w:szCs w:val="18"/>
        </w:rPr>
        <w:t>к приказу</w:t>
      </w:r>
      <w:r>
        <w:rPr>
          <w:b/>
          <w:sz w:val="18"/>
          <w:szCs w:val="18"/>
        </w:rPr>
        <w:t xml:space="preserve"> У</w:t>
      </w:r>
      <w:r w:rsidRPr="00233BF3">
        <w:rPr>
          <w:b/>
          <w:sz w:val="18"/>
          <w:szCs w:val="18"/>
        </w:rPr>
        <w:t>правлению образования</w:t>
      </w:r>
      <w:r>
        <w:rPr>
          <w:b/>
          <w:sz w:val="18"/>
          <w:szCs w:val="18"/>
        </w:rPr>
        <w:t xml:space="preserve"> администрации Борисовского района</w:t>
      </w:r>
    </w:p>
    <w:p w:rsidR="00831FC0" w:rsidRPr="00233BF3" w:rsidRDefault="00831FC0" w:rsidP="00831FC0">
      <w:pPr>
        <w:pStyle w:val="a5"/>
        <w:ind w:left="510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077422">
        <w:rPr>
          <w:b/>
          <w:sz w:val="18"/>
          <w:szCs w:val="18"/>
        </w:rPr>
        <w:t xml:space="preserve">                  </w:t>
      </w:r>
      <w:r>
        <w:rPr>
          <w:b/>
          <w:sz w:val="18"/>
          <w:szCs w:val="18"/>
        </w:rPr>
        <w:t xml:space="preserve"> </w:t>
      </w:r>
      <w:r w:rsidRPr="00233BF3">
        <w:rPr>
          <w:b/>
          <w:sz w:val="18"/>
          <w:szCs w:val="18"/>
        </w:rPr>
        <w:t xml:space="preserve">от </w:t>
      </w:r>
      <w:r>
        <w:rPr>
          <w:b/>
          <w:sz w:val="18"/>
          <w:szCs w:val="18"/>
        </w:rPr>
        <w:t>04</w:t>
      </w:r>
      <w:r w:rsidR="007C0404">
        <w:rPr>
          <w:b/>
          <w:sz w:val="18"/>
          <w:szCs w:val="18"/>
        </w:rPr>
        <w:t xml:space="preserve"> </w:t>
      </w:r>
      <w:r w:rsidRPr="00233BF3">
        <w:rPr>
          <w:b/>
          <w:sz w:val="18"/>
          <w:szCs w:val="18"/>
        </w:rPr>
        <w:t xml:space="preserve"> августа </w:t>
      </w:r>
      <w:r w:rsidR="007C0404">
        <w:rPr>
          <w:b/>
          <w:sz w:val="18"/>
          <w:szCs w:val="18"/>
        </w:rPr>
        <w:t xml:space="preserve"> </w:t>
      </w:r>
      <w:r w:rsidRPr="00233BF3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6</w:t>
      </w:r>
      <w:r w:rsidRPr="00233BF3">
        <w:rPr>
          <w:b/>
          <w:sz w:val="18"/>
          <w:szCs w:val="18"/>
        </w:rPr>
        <w:t xml:space="preserve"> года</w:t>
      </w:r>
      <w:r w:rsidR="007C04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№ 506</w:t>
      </w:r>
    </w:p>
    <w:p w:rsidR="00831FC0" w:rsidRDefault="00831FC0" w:rsidP="00831FC0">
      <w:pPr>
        <w:pStyle w:val="a5"/>
        <w:ind w:left="5103"/>
        <w:jc w:val="center"/>
        <w:rPr>
          <w:b/>
          <w:szCs w:val="28"/>
        </w:rPr>
      </w:pPr>
    </w:p>
    <w:p w:rsidR="00831FC0" w:rsidRDefault="00831FC0" w:rsidP="00831FC0">
      <w:pPr>
        <w:pStyle w:val="a5"/>
        <w:ind w:left="5103"/>
        <w:jc w:val="center"/>
        <w:rPr>
          <w:b/>
          <w:szCs w:val="28"/>
        </w:rPr>
      </w:pPr>
    </w:p>
    <w:tbl>
      <w:tblPr>
        <w:tblW w:w="8520" w:type="dxa"/>
        <w:tblInd w:w="93" w:type="dxa"/>
        <w:tblLook w:val="0000"/>
      </w:tblPr>
      <w:tblGrid>
        <w:gridCol w:w="222"/>
        <w:gridCol w:w="523"/>
        <w:gridCol w:w="2525"/>
        <w:gridCol w:w="1764"/>
        <w:gridCol w:w="1774"/>
        <w:gridCol w:w="1820"/>
        <w:gridCol w:w="222"/>
      </w:tblGrid>
      <w:tr w:rsidR="00831FC0" w:rsidRPr="000B1ADD" w:rsidTr="00E57DBA">
        <w:trPr>
          <w:trHeight w:val="1129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1FC0" w:rsidRPr="000B1ADD" w:rsidRDefault="00831FC0" w:rsidP="00E57D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1ADD">
              <w:rPr>
                <w:rFonts w:ascii="Times New Roman" w:hAnsi="Times New Roman" w:cs="Times New Roman"/>
                <w:color w:val="000000"/>
              </w:rPr>
              <w:t>Сведения о протяженности маршрутов и численности подвозимых детей в общеобразовательных учрежде</w:t>
            </w:r>
            <w:r w:rsidR="000B1ADD">
              <w:rPr>
                <w:rFonts w:ascii="Times New Roman" w:hAnsi="Times New Roman" w:cs="Times New Roman"/>
                <w:color w:val="000000"/>
              </w:rPr>
              <w:t>ниях Борисовского района на 2016-2017</w:t>
            </w:r>
            <w:r w:rsidRPr="000B1ADD">
              <w:rPr>
                <w:rFonts w:ascii="Times New Roman" w:hAnsi="Times New Roman" w:cs="Times New Roman"/>
                <w:color w:val="000000"/>
              </w:rPr>
              <w:t xml:space="preserve"> учебный год.</w:t>
            </w:r>
          </w:p>
        </w:tc>
      </w:tr>
      <w:tr w:rsidR="00831FC0" w:rsidTr="00E57DBA">
        <w:trPr>
          <w:trHeight w:val="9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C0" w:rsidRDefault="00831FC0" w:rsidP="00E57D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  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C0" w:rsidRDefault="00831FC0" w:rsidP="00E57D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МОУ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Кол-во автотранспорта, шт.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Расстояние маршрута, км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день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охват детей по маршруту, чел.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Борисовская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№1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D45397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D45397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 рейсы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Борисовская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№2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F863A2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F863A2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 рейсы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Борисовская "Кирова"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Борисовская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оош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№4</w:t>
            </w:r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 рейсы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Березовская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 рейсы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Грузсчанская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F863A2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 рейсы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Крюковская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F863A2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 рейсы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Н-Борисовская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F863A2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О-Готнянская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0B1ADD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 рейсы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Стригуновская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 рейсы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25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Хотмыжская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сош</w:t>
            </w:r>
            <w:proofErr w:type="spellEnd"/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0B1ADD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0B1ADD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0B1A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0B1AD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 рейсы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Байцуровская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ош</w:t>
            </w:r>
            <w:proofErr w:type="spellEnd"/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 рейсы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Кр-Кутская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ош</w:t>
            </w:r>
            <w:proofErr w:type="spellEnd"/>
          </w:p>
        </w:tc>
        <w:tc>
          <w:tcPr>
            <w:tcW w:w="1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 рейсы</w:t>
            </w:r>
          </w:p>
        </w:tc>
        <w:tc>
          <w:tcPr>
            <w:tcW w:w="1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 основные: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821,9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0B1ADD" w:rsidP="00E57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716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ИТОГО доп. рейсы: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117,3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246,0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831FC0" w:rsidTr="00E57DBA">
        <w:trPr>
          <w:trHeight w:val="300"/>
        </w:trPr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ВСЕГО: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831FC0" w:rsidP="00E57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939,2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FC0" w:rsidRDefault="000B1ADD" w:rsidP="00E57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962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FC0" w:rsidRDefault="00831FC0" w:rsidP="00E57DBA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</w:tbl>
    <w:p w:rsidR="00831FC0" w:rsidRDefault="00831FC0" w:rsidP="00831FC0"/>
    <w:p w:rsidR="00831FC0" w:rsidRDefault="00831FC0" w:rsidP="00831FC0"/>
    <w:p w:rsidR="00831FC0" w:rsidRDefault="00831FC0" w:rsidP="00831FC0"/>
    <w:p w:rsidR="00831FC0" w:rsidRDefault="00831FC0" w:rsidP="00831FC0"/>
    <w:p w:rsidR="00831FC0" w:rsidRDefault="00831FC0" w:rsidP="00831FC0"/>
    <w:p w:rsidR="00831FC0" w:rsidRDefault="00831FC0" w:rsidP="00831FC0"/>
    <w:p w:rsidR="00831FC0" w:rsidRDefault="00831FC0" w:rsidP="00831FC0"/>
    <w:p w:rsidR="00831FC0" w:rsidRDefault="00831FC0" w:rsidP="00831FC0"/>
    <w:p w:rsidR="00831FC0" w:rsidRPr="00802856" w:rsidRDefault="00831FC0" w:rsidP="00802856">
      <w:pPr>
        <w:spacing w:after="0" w:line="240" w:lineRule="auto"/>
        <w:rPr>
          <w:b/>
          <w:sz w:val="28"/>
          <w:szCs w:val="28"/>
        </w:rPr>
      </w:pPr>
    </w:p>
    <w:sectPr w:rsidR="00831FC0" w:rsidRPr="00802856" w:rsidSect="00C2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443"/>
    <w:multiLevelType w:val="multilevel"/>
    <w:tmpl w:val="A73C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3413A"/>
    <w:multiLevelType w:val="multilevel"/>
    <w:tmpl w:val="4412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6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82B"/>
    <w:rsid w:val="00077422"/>
    <w:rsid w:val="000B1ADD"/>
    <w:rsid w:val="000C62AE"/>
    <w:rsid w:val="0017020F"/>
    <w:rsid w:val="001A7329"/>
    <w:rsid w:val="0021673F"/>
    <w:rsid w:val="00265836"/>
    <w:rsid w:val="00352247"/>
    <w:rsid w:val="003728D2"/>
    <w:rsid w:val="00497E52"/>
    <w:rsid w:val="0053221A"/>
    <w:rsid w:val="00726922"/>
    <w:rsid w:val="00757889"/>
    <w:rsid w:val="007C0404"/>
    <w:rsid w:val="007C3D06"/>
    <w:rsid w:val="00802856"/>
    <w:rsid w:val="00831FC0"/>
    <w:rsid w:val="00972914"/>
    <w:rsid w:val="009753DF"/>
    <w:rsid w:val="00C2248B"/>
    <w:rsid w:val="00CF23E7"/>
    <w:rsid w:val="00D45397"/>
    <w:rsid w:val="00F1782B"/>
    <w:rsid w:val="00F8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8B"/>
  </w:style>
  <w:style w:type="paragraph" w:styleId="3">
    <w:name w:val="heading 3"/>
    <w:basedOn w:val="a"/>
    <w:link w:val="30"/>
    <w:uiPriority w:val="9"/>
    <w:qFormat/>
    <w:rsid w:val="00F17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8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97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831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2016-11-01T06:03:00Z</cp:lastPrinted>
  <dcterms:created xsi:type="dcterms:W3CDTF">2016-08-04T05:53:00Z</dcterms:created>
  <dcterms:modified xsi:type="dcterms:W3CDTF">2016-11-01T06:10:00Z</dcterms:modified>
</cp:coreProperties>
</file>